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line="240" w:lineRule="auto" w:before="58"/>
        <w:ind w:left="3305" w:right="2864" w:firstLine="913"/>
        <w:jc w:val="left"/>
        <w:rPr>
          <w:b w:val="0"/>
          <w:bCs w:val="0"/>
        </w:rPr>
      </w:pPr>
      <w:bookmarkStart w:name="AGNY-130153370" w:id="1"/>
      <w:bookmarkEnd w:id="1"/>
      <w:r>
        <w:rPr>
          <w:b w:val="0"/>
        </w:rPr>
      </w:r>
      <w:bookmarkStart w:name="Attachment: &quot;AIG-MU-RENT-RU (6-15) Rule " w:id="2"/>
      <w:bookmarkEnd w:id="2"/>
      <w:r>
        <w:rPr>
          <w:b w:val="0"/>
        </w:rPr>
      </w:r>
      <w:r>
        <w:rPr/>
        <w:t>Rule Page</w:t>
      </w:r>
      <w:r>
        <w:rPr/>
        <w:t> Commercial</w:t>
      </w:r>
      <w:r>
        <w:rPr>
          <w:spacing w:val="-1"/>
        </w:rPr>
        <w:t> </w:t>
      </w:r>
      <w:r>
        <w:rPr/>
        <w:t>Inland</w:t>
      </w:r>
      <w:r>
        <w:rPr>
          <w:spacing w:val="-1"/>
        </w:rPr>
        <w:t> </w:t>
      </w:r>
      <w:r>
        <w:rPr/>
        <w:t>Marine</w:t>
      </w:r>
      <w:r>
        <w:rPr>
          <w:b w:val="0"/>
        </w:rPr>
      </w:r>
    </w:p>
    <w:p>
      <w:pPr>
        <w:spacing w:before="0"/>
        <w:ind w:left="3" w:right="0" w:firstLine="0"/>
        <w:jc w:val="center"/>
        <w:rPr>
          <w:rFonts w:ascii="Arial" w:hAnsi="Arial" w:cs="Arial" w:eastAsia="Arial"/>
          <w:sz w:val="24"/>
          <w:szCs w:val="24"/>
        </w:rPr>
      </w:pPr>
      <w:r>
        <w:rPr>
          <w:rFonts w:ascii="Arial"/>
          <w:b/>
          <w:sz w:val="24"/>
        </w:rPr>
        <w:t>Multistate</w:t>
      </w:r>
      <w:r>
        <w:rPr>
          <w:rFonts w:ascii="Arial"/>
          <w:sz w:val="24"/>
        </w:rPr>
      </w:r>
    </w:p>
    <w:p>
      <w:pPr>
        <w:spacing w:line="240" w:lineRule="auto" w:before="0"/>
        <w:rPr>
          <w:rFonts w:ascii="Arial" w:hAnsi="Arial" w:cs="Arial" w:eastAsia="Arial"/>
          <w:b/>
          <w:bCs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b/>
          <w:bCs/>
          <w:sz w:val="17"/>
          <w:szCs w:val="17"/>
        </w:rPr>
      </w:pPr>
    </w:p>
    <w:p>
      <w:pPr>
        <w:pStyle w:val="Heading2"/>
        <w:spacing w:line="240" w:lineRule="auto" w:before="74"/>
        <w:ind w:left="120" w:right="0" w:firstLine="0"/>
        <w:jc w:val="left"/>
        <w:rPr>
          <w:b w:val="0"/>
          <w:bCs w:val="0"/>
        </w:rPr>
      </w:pPr>
      <w:r>
        <w:rPr/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Waiver</w:t>
      </w:r>
      <w:r>
        <w:rPr>
          <w:spacing w:val="-1"/>
          <w:u w:val="thick" w:color="000000"/>
        </w:rPr>
        <w:t> of Theft </w:t>
      </w:r>
      <w:r>
        <w:rPr>
          <w:spacing w:val="-2"/>
          <w:u w:val="thick" w:color="000000"/>
        </w:rPr>
        <w:t>Deductible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National</w:t>
      </w:r>
      <w:r>
        <w:rPr>
          <w:spacing w:val="-1"/>
          <w:u w:val="thick" w:color="000000"/>
        </w:rPr>
        <w:t> Equipment</w:t>
      </w:r>
      <w:r>
        <w:rPr>
          <w:spacing w:val="-2"/>
          <w:u w:val="thick" w:color="000000"/>
        </w:rPr>
        <w:t> </w:t>
      </w:r>
      <w:r>
        <w:rPr>
          <w:spacing w:val="-1"/>
          <w:u w:val="thick" w:color="000000"/>
        </w:rPr>
        <w:t>Register </w:t>
      </w:r>
      <w:r>
        <w:rPr>
          <w:spacing w:val="-2"/>
          <w:u w:val="thick" w:color="000000"/>
        </w:rPr>
        <w:t>Membership,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119271:</w:t>
      </w:r>
      <w:r>
        <w:rPr>
          <w:spacing w:val="-1"/>
        </w:rPr>
      </w:r>
      <w:r>
        <w:rPr>
          <w:b w:val="0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 w:before="74"/>
        <w:ind w:right="0"/>
        <w:jc w:val="left"/>
      </w:pPr>
      <w:r>
        <w:rPr/>
        <w:t>This</w:t>
      </w:r>
      <w:r>
        <w:rPr>
          <w:spacing w:val="-1"/>
        </w:rPr>
        <w:t> endorsement </w:t>
      </w:r>
      <w:r>
        <w:rPr/>
        <w:t>is</w:t>
      </w:r>
      <w:r>
        <w:rPr>
          <w:spacing w:val="-1"/>
        </w:rPr>
        <w:t> applicable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following </w:t>
      </w:r>
      <w:r>
        <w:rPr/>
        <w:t>policy</w:t>
      </w:r>
      <w:r>
        <w:rPr>
          <w:spacing w:val="-2"/>
        </w:rPr>
        <w:t> </w:t>
      </w:r>
      <w:r>
        <w:rPr/>
        <w:t>forms: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Heading2"/>
        <w:numPr>
          <w:ilvl w:val="0"/>
          <w:numId w:val="1"/>
        </w:numPr>
        <w:tabs>
          <w:tab w:pos="840" w:val="left" w:leader="none"/>
        </w:tabs>
        <w:spacing w:line="244" w:lineRule="exact" w:before="0" w:after="0"/>
        <w:ind w:left="840" w:right="0" w:hanging="360"/>
        <w:jc w:val="left"/>
        <w:rPr>
          <w:b w:val="0"/>
          <w:bCs w:val="0"/>
        </w:rPr>
      </w:pPr>
      <w:r>
        <w:rPr>
          <w:spacing w:val="-1"/>
        </w:rPr>
        <w:t>Rental Dealers Coverage Form, Equipment Sales and Rental Coverage, Form 115153</w:t>
      </w:r>
      <w:r>
        <w:rPr>
          <w:b w:val="0"/>
        </w:rPr>
      </w:r>
    </w:p>
    <w:p>
      <w:pPr>
        <w:numPr>
          <w:ilvl w:val="0"/>
          <w:numId w:val="1"/>
        </w:numPr>
        <w:tabs>
          <w:tab w:pos="840" w:val="left" w:leader="none"/>
        </w:tabs>
        <w:spacing w:line="244" w:lineRule="exact" w:before="0"/>
        <w:ind w:left="840" w:right="0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Equipment Sales and Rental Coverage, AAIS Form IM 7700</w:t>
      </w:r>
      <w:r>
        <w:rPr>
          <w:rFonts w:ascii="Arial"/>
          <w:sz w:val="20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right="0"/>
        <w:jc w:val="left"/>
      </w:pPr>
      <w:r>
        <w:rPr>
          <w:spacing w:val="-1"/>
        </w:rPr>
        <w:t>We will</w:t>
      </w:r>
      <w:r>
        <w:rPr>
          <w:spacing w:val="-2"/>
        </w:rPr>
        <w:t> </w:t>
      </w:r>
      <w:r>
        <w:rPr>
          <w:spacing w:val="-1"/>
        </w:rPr>
        <w:t>waive</w:t>
      </w:r>
      <w:r>
        <w:rPr>
          <w:spacing w:val="-2"/>
        </w:rPr>
        <w:t> </w:t>
      </w:r>
      <w:r>
        <w:rPr>
          <w:spacing w:val="-1"/>
        </w:rPr>
        <w:t>the </w:t>
      </w:r>
      <w:r>
        <w:rPr>
          <w:spacing w:val="-2"/>
        </w:rPr>
        <w:t>deductible</w:t>
      </w:r>
      <w:r>
        <w:rPr>
          <w:spacing w:val="-1"/>
        </w:rPr>
        <w:t> provisions</w:t>
      </w:r>
      <w:r>
        <w:rPr/>
        <w:t> </w:t>
      </w:r>
      <w:r>
        <w:rPr>
          <w:spacing w:val="-1"/>
        </w:rPr>
        <w:t>of the policy with</w:t>
      </w:r>
      <w:r>
        <w:rPr>
          <w:spacing w:val="3"/>
        </w:rPr>
        <w:t> </w:t>
      </w:r>
      <w:r>
        <w:rPr>
          <w:spacing w:val="-1"/>
        </w:rPr>
        <w:t>respect </w:t>
      </w:r>
      <w:r>
        <w:rPr/>
        <w:t>to</w:t>
      </w:r>
      <w:r>
        <w:rPr>
          <w:spacing w:val="-1"/>
        </w:rPr>
        <w:t> </w:t>
      </w:r>
      <w:r>
        <w:rPr/>
        <w:t>theft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conversion </w:t>
      </w:r>
      <w:r>
        <w:rPr/>
        <w:t>(if</w:t>
      </w:r>
      <w:r>
        <w:rPr>
          <w:spacing w:val="-1"/>
        </w:rPr>
        <w:t> conversion </w:t>
      </w:r>
      <w:r>
        <w:rPr/>
        <w:t>is</w:t>
      </w:r>
      <w:r>
        <w:rPr>
          <w:spacing w:val="-1"/>
        </w:rPr>
        <w:t> </w:t>
      </w:r>
      <w:r>
        <w:rPr/>
        <w:t>a</w:t>
      </w:r>
      <w:r>
        <w:rPr>
          <w:spacing w:val="63"/>
        </w:rPr>
        <w:t> </w:t>
      </w:r>
      <w:r>
        <w:rPr/>
        <w:t>covered</w:t>
      </w:r>
      <w:r>
        <w:rPr>
          <w:spacing w:val="-1"/>
        </w:rPr>
        <w:t> peril</w:t>
      </w:r>
      <w:r>
        <w:rPr>
          <w:spacing w:val="-2"/>
        </w:rPr>
        <w:t> </w:t>
      </w:r>
      <w:r>
        <w:rPr>
          <w:spacing w:val="-1"/>
        </w:rPr>
        <w:t>under </w:t>
      </w:r>
      <w:r>
        <w:rPr/>
        <w:t>the</w:t>
      </w:r>
      <w:r>
        <w:rPr>
          <w:spacing w:val="-1"/>
        </w:rPr>
        <w:t> policy) </w:t>
      </w: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insured has done</w:t>
      </w:r>
      <w:r>
        <w:rPr>
          <w:spacing w:val="-2"/>
        </w:rPr>
        <w:t> </w:t>
      </w:r>
      <w:r>
        <w:rPr/>
        <w:t>all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following: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numPr>
          <w:ilvl w:val="0"/>
          <w:numId w:val="2"/>
        </w:numPr>
        <w:tabs>
          <w:tab w:pos="841" w:val="left" w:leader="none"/>
        </w:tabs>
        <w:spacing w:line="240" w:lineRule="auto" w:before="0" w:after="0"/>
        <w:ind w:left="840" w:right="232" w:hanging="360"/>
        <w:jc w:val="left"/>
      </w:pPr>
      <w:r>
        <w:rPr>
          <w:spacing w:val="-1"/>
        </w:rPr>
        <w:t>Properly registered </w:t>
      </w:r>
      <w:r>
        <w:rPr/>
        <w:t>the</w:t>
      </w:r>
      <w:r>
        <w:rPr>
          <w:spacing w:val="-1"/>
        </w:rPr>
        <w:t> stolen property </w:t>
      </w:r>
      <w:r>
        <w:rPr/>
        <w:t>covered</w:t>
      </w:r>
      <w:r>
        <w:rPr>
          <w:spacing w:val="-2"/>
        </w:rPr>
        <w:t> </w:t>
      </w:r>
      <w:r>
        <w:rPr/>
        <w:t>with</w:t>
      </w:r>
      <w:r>
        <w:rPr>
          <w:spacing w:val="-1"/>
        </w:rPr>
        <w:t> the National Equipment Register prior to the</w:t>
      </w:r>
      <w:r>
        <w:rPr>
          <w:spacing w:val="44"/>
        </w:rPr>
        <w:t> </w:t>
      </w:r>
      <w:r>
        <w:rPr>
          <w:spacing w:val="-1"/>
        </w:rPr>
        <w:t>theft.</w:t>
      </w:r>
      <w:r>
        <w:rPr/>
      </w:r>
    </w:p>
    <w:p>
      <w:pPr>
        <w:pStyle w:val="BodyText"/>
        <w:numPr>
          <w:ilvl w:val="0"/>
          <w:numId w:val="2"/>
        </w:numPr>
        <w:tabs>
          <w:tab w:pos="841" w:val="left" w:leader="none"/>
        </w:tabs>
        <w:spacing w:line="240" w:lineRule="auto" w:before="0" w:after="0"/>
        <w:ind w:left="840" w:right="232" w:hanging="360"/>
        <w:jc w:val="left"/>
      </w:pPr>
      <w:r>
        <w:rPr>
          <w:spacing w:val="-1"/>
        </w:rPr>
        <w:t>Reported the</w:t>
      </w:r>
      <w:r>
        <w:rPr>
          <w:spacing w:val="-2"/>
        </w:rPr>
        <w:t> </w:t>
      </w:r>
      <w:r>
        <w:rPr>
          <w:spacing w:val="-1"/>
        </w:rPr>
        <w:t>theft to the local law enforcement</w:t>
      </w:r>
      <w:r>
        <w:rPr/>
        <w:t> </w:t>
      </w:r>
      <w:r>
        <w:rPr>
          <w:spacing w:val="-1"/>
        </w:rPr>
        <w:t>agency having jurisdiction as</w:t>
      </w:r>
      <w:r>
        <w:rPr/>
        <w:t> </w:t>
      </w:r>
      <w:r>
        <w:rPr>
          <w:spacing w:val="-1"/>
        </w:rPr>
        <w:t>soon as the </w:t>
      </w:r>
      <w:r>
        <w:rPr>
          <w:spacing w:val="-2"/>
        </w:rPr>
        <w:t>insured</w:t>
      </w:r>
      <w:r>
        <w:rPr>
          <w:spacing w:val="38"/>
        </w:rPr>
        <w:t> </w:t>
      </w:r>
      <w:r>
        <w:rPr>
          <w:spacing w:val="-1"/>
        </w:rPr>
        <w:t>became aware of the theft.</w:t>
      </w:r>
      <w:r>
        <w:rPr/>
      </w:r>
    </w:p>
    <w:p>
      <w:pPr>
        <w:pStyle w:val="BodyText"/>
        <w:numPr>
          <w:ilvl w:val="0"/>
          <w:numId w:val="2"/>
        </w:numPr>
        <w:tabs>
          <w:tab w:pos="841" w:val="left" w:leader="none"/>
        </w:tabs>
        <w:spacing w:line="240" w:lineRule="auto" w:before="0" w:after="0"/>
        <w:ind w:left="840" w:right="0" w:hanging="360"/>
        <w:jc w:val="left"/>
      </w:pPr>
      <w:r>
        <w:rPr>
          <w:spacing w:val="-1"/>
        </w:rPr>
        <w:t>Reported the</w:t>
      </w:r>
      <w:r>
        <w:rPr>
          <w:spacing w:val="-2"/>
        </w:rPr>
        <w:t> </w:t>
      </w:r>
      <w:r>
        <w:rPr>
          <w:spacing w:val="-1"/>
        </w:rPr>
        <w:t>claim to the Company in accordance</w:t>
      </w:r>
      <w:r>
        <w:rPr>
          <w:spacing w:val="-2"/>
        </w:rPr>
        <w:t> </w:t>
      </w:r>
      <w:r>
        <w:rPr/>
        <w:t>with</w:t>
      </w:r>
      <w:r>
        <w:rPr>
          <w:spacing w:val="-1"/>
        </w:rPr>
        <w:t> </w:t>
      </w:r>
      <w:r>
        <w:rPr/>
        <w:t>terms</w:t>
      </w:r>
      <w:r>
        <w:rPr>
          <w:spacing w:val="-1"/>
        </w:rPr>
        <w:t> and conditions </w:t>
      </w:r>
      <w:r>
        <w:rPr/>
        <w:t>of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policy.</w:t>
      </w:r>
    </w:p>
    <w:p>
      <w:pPr>
        <w:spacing w:line="240" w:lineRule="auto" w:before="11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240" w:lineRule="auto"/>
        <w:ind w:left="120" w:right="232"/>
        <w:jc w:val="left"/>
      </w:pPr>
      <w:r>
        <w:rPr/>
        <w:t>This</w:t>
      </w:r>
      <w:r>
        <w:rPr>
          <w:spacing w:val="-2"/>
        </w:rPr>
        <w:t> </w:t>
      </w:r>
      <w:r>
        <w:rPr>
          <w:spacing w:val="-1"/>
        </w:rPr>
        <w:t>coverage </w:t>
      </w:r>
      <w:r>
        <w:rPr/>
        <w:t>will</w:t>
      </w:r>
      <w:r>
        <w:rPr>
          <w:spacing w:val="-1"/>
        </w:rPr>
        <w:t> </w:t>
      </w:r>
      <w:r>
        <w:rPr/>
        <w:t>apply</w:t>
      </w:r>
      <w:r>
        <w:rPr>
          <w:spacing w:val="-1"/>
        </w:rPr>
        <w:t> up </w:t>
      </w:r>
      <w:r>
        <w:rPr/>
        <w:t>to</w:t>
      </w:r>
      <w:r>
        <w:rPr>
          <w:spacing w:val="-1"/>
        </w:rPr>
        <w:t> </w:t>
      </w:r>
      <w:r>
        <w:rPr/>
        <w:t>$10,000</w:t>
      </w:r>
      <w:r>
        <w:rPr>
          <w:spacing w:val="-2"/>
        </w:rPr>
        <w:t> </w:t>
      </w:r>
      <w:r>
        <w:rPr/>
        <w:t>each</w:t>
      </w:r>
      <w:r>
        <w:rPr>
          <w:spacing w:val="-1"/>
        </w:rPr>
        <w:t> occurrence. </w:t>
      </w: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insured’s deductible exceeds $10,000, </w:t>
      </w:r>
      <w:r>
        <w:rPr/>
        <w:t>the</w:t>
      </w:r>
      <w:r>
        <w:rPr>
          <w:spacing w:val="73"/>
        </w:rPr>
        <w:t> </w:t>
      </w:r>
      <w:r>
        <w:rPr>
          <w:spacing w:val="-1"/>
        </w:rPr>
        <w:t>insured is</w:t>
      </w:r>
      <w:r>
        <w:rPr/>
        <w:t> </w:t>
      </w:r>
      <w:r>
        <w:rPr>
          <w:spacing w:val="-1"/>
        </w:rPr>
        <w:t>responsible </w:t>
      </w:r>
      <w:r>
        <w:rPr/>
        <w:t>for</w:t>
      </w:r>
      <w:r>
        <w:rPr>
          <w:spacing w:val="-1"/>
        </w:rPr>
        <w:t> the deductible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excess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$10,000.</w:t>
      </w:r>
    </w:p>
    <w:p>
      <w:pPr>
        <w:spacing w:line="240" w:lineRule="auto" w:before="11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spacing w:line="480" w:lineRule="auto"/>
        <w:ind w:left="120" w:right="1001"/>
        <w:jc w:val="left"/>
      </w:pPr>
      <w:r>
        <w:rPr>
          <w:spacing w:val="-1"/>
        </w:rPr>
        <w:t>If any of</w:t>
      </w:r>
      <w:r>
        <w:rPr/>
        <w:t> </w:t>
      </w:r>
      <w:r>
        <w:rPr>
          <w:spacing w:val="-1"/>
        </w:rPr>
        <w:t>the above have not been complied with by</w:t>
      </w:r>
      <w:r>
        <w:rPr/>
        <w:t> the</w:t>
      </w:r>
      <w:r>
        <w:rPr>
          <w:spacing w:val="-1"/>
        </w:rPr>
        <w:t> insured, </w:t>
      </w:r>
      <w:r>
        <w:rPr/>
        <w:t>the</w:t>
      </w:r>
      <w:r>
        <w:rPr>
          <w:spacing w:val="-2"/>
        </w:rPr>
        <w:t> </w:t>
      </w:r>
      <w:r>
        <w:rPr/>
        <w:t>policy</w:t>
      </w:r>
      <w:r>
        <w:rPr>
          <w:spacing w:val="-1"/>
        </w:rPr>
        <w:t> deductible applies.</w:t>
      </w:r>
      <w:r>
        <w:rPr>
          <w:spacing w:val="53"/>
        </w:rPr>
        <w:t> </w:t>
      </w:r>
      <w:r>
        <w:rPr>
          <w:spacing w:val="-1"/>
        </w:rPr>
        <w:t>Form:</w:t>
      </w:r>
      <w:r>
        <w:rPr/>
        <w:t>  </w:t>
      </w:r>
      <w:r>
        <w:rPr>
          <w:spacing w:val="29"/>
        </w:rPr>
        <w:t> </w:t>
      </w:r>
      <w:r>
        <w:rPr>
          <w:spacing w:val="-1"/>
        </w:rPr>
        <w:t>Optional.</w:t>
      </w:r>
      <w:r>
        <w:rPr/>
      </w:r>
    </w:p>
    <w:p>
      <w:pPr>
        <w:pStyle w:val="BodyText"/>
        <w:spacing w:line="240" w:lineRule="auto" w:before="5"/>
        <w:ind w:left="120" w:right="0"/>
        <w:jc w:val="left"/>
      </w:pPr>
      <w:r>
        <w:rPr/>
        <w:t>Premium</w:t>
      </w:r>
      <w:r>
        <w:rPr>
          <w:spacing w:val="-2"/>
        </w:rPr>
        <w:t> </w:t>
      </w:r>
      <w:r>
        <w:rPr>
          <w:spacing w:val="-1"/>
        </w:rPr>
        <w:t>Charge: None.</w: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6"/>
        <w:rPr>
          <w:rFonts w:ascii="Arial" w:hAnsi="Arial" w:cs="Arial" w:eastAsia="Arial"/>
          <w:sz w:val="20"/>
          <w:szCs w:val="20"/>
        </w:rPr>
      </w:pPr>
    </w:p>
    <w:p>
      <w:pPr>
        <w:pStyle w:val="Heading2"/>
        <w:spacing w:line="240" w:lineRule="auto"/>
        <w:ind w:left="120" w:right="0" w:firstLine="0"/>
        <w:jc w:val="left"/>
        <w:rPr>
          <w:b w:val="0"/>
          <w:bCs w:val="0"/>
        </w:rPr>
      </w:pPr>
      <w:r>
        <w:rPr/>
      </w:r>
      <w:r>
        <w:rPr>
          <w:spacing w:val="-2"/>
          <w:u w:val="thick" w:color="000000"/>
        </w:rPr>
        <w:t>Waiver</w:t>
      </w:r>
      <w:r>
        <w:rPr>
          <w:spacing w:val="-1"/>
          <w:u w:val="thick" w:color="000000"/>
        </w:rPr>
        <w:t> of Theft</w:t>
      </w:r>
      <w:r>
        <w:rPr>
          <w:spacing w:val="-2"/>
          <w:u w:val="thick" w:color="000000"/>
        </w:rPr>
        <w:t> Deductible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National</w:t>
      </w:r>
      <w:r>
        <w:rPr>
          <w:spacing w:val="-1"/>
          <w:u w:val="thick" w:color="000000"/>
        </w:rPr>
        <w:t> Equipment </w:t>
      </w:r>
      <w:r>
        <w:rPr>
          <w:spacing w:val="-2"/>
          <w:u w:val="thick" w:color="000000"/>
        </w:rPr>
        <w:t>Register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Membership,</w:t>
      </w:r>
      <w:r>
        <w:rPr>
          <w:spacing w:val="-1"/>
          <w:u w:val="thick" w:color="000000"/>
        </w:rPr>
        <w:t> </w:t>
      </w:r>
      <w:r>
        <w:rPr>
          <w:spacing w:val="-2"/>
          <w:u w:val="thick" w:color="000000"/>
        </w:rPr>
        <w:t>119270:</w:t>
      </w:r>
      <w:r>
        <w:rPr>
          <w:spacing w:val="-1"/>
        </w:rPr>
      </w:r>
      <w:r>
        <w:rPr>
          <w:b w:val="0"/>
        </w:rPr>
      </w:r>
    </w:p>
    <w:p>
      <w:pPr>
        <w:spacing w:line="240" w:lineRule="auto" w:before="4"/>
        <w:rPr>
          <w:rFonts w:ascii="Arial" w:hAnsi="Arial" w:cs="Arial" w:eastAsia="Arial"/>
          <w:b/>
          <w:bCs/>
          <w:sz w:val="13"/>
          <w:szCs w:val="13"/>
        </w:rPr>
      </w:pPr>
    </w:p>
    <w:p>
      <w:pPr>
        <w:pStyle w:val="BodyText"/>
        <w:spacing w:line="240" w:lineRule="auto" w:before="74"/>
        <w:ind w:left="120" w:right="0"/>
        <w:jc w:val="left"/>
      </w:pPr>
      <w:r>
        <w:rPr/>
        <w:t>This</w:t>
      </w:r>
      <w:r>
        <w:rPr>
          <w:spacing w:val="-1"/>
        </w:rPr>
        <w:t> endorsement </w:t>
      </w:r>
      <w:r>
        <w:rPr/>
        <w:t>is</w:t>
      </w:r>
      <w:r>
        <w:rPr>
          <w:spacing w:val="-1"/>
        </w:rPr>
        <w:t> applicable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following </w:t>
      </w:r>
      <w:r>
        <w:rPr/>
        <w:t>policy</w:t>
      </w:r>
      <w:r>
        <w:rPr>
          <w:spacing w:val="-2"/>
        </w:rPr>
        <w:t> </w:t>
      </w:r>
      <w:r>
        <w:rPr/>
        <w:t>forms: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Heading2"/>
        <w:numPr>
          <w:ilvl w:val="0"/>
          <w:numId w:val="1"/>
        </w:numPr>
        <w:tabs>
          <w:tab w:pos="840" w:val="left" w:leader="none"/>
        </w:tabs>
        <w:spacing w:line="244" w:lineRule="exact" w:before="0" w:after="0"/>
        <w:ind w:left="840" w:right="0" w:hanging="360"/>
        <w:jc w:val="left"/>
        <w:rPr>
          <w:b w:val="0"/>
          <w:bCs w:val="0"/>
        </w:rPr>
      </w:pPr>
      <w:r>
        <w:rPr>
          <w:spacing w:val="-1"/>
        </w:rPr>
        <w:t>Rental Dealers Coverage Form, Equipment Sales and Rental Coverage, Form 115153</w:t>
      </w:r>
      <w:r>
        <w:rPr>
          <w:b w:val="0"/>
        </w:rPr>
      </w:r>
    </w:p>
    <w:p>
      <w:pPr>
        <w:numPr>
          <w:ilvl w:val="0"/>
          <w:numId w:val="1"/>
        </w:numPr>
        <w:tabs>
          <w:tab w:pos="840" w:val="left" w:leader="none"/>
        </w:tabs>
        <w:spacing w:line="244" w:lineRule="exact" w:before="0"/>
        <w:ind w:left="840" w:right="0" w:hanging="360"/>
        <w:jc w:val="left"/>
        <w:rPr>
          <w:rFonts w:ascii="Arial" w:hAnsi="Arial" w:cs="Arial" w:eastAsia="Arial"/>
          <w:sz w:val="20"/>
          <w:szCs w:val="20"/>
        </w:rPr>
      </w:pPr>
      <w:r>
        <w:rPr>
          <w:rFonts w:ascii="Arial"/>
          <w:b/>
          <w:spacing w:val="-1"/>
          <w:sz w:val="20"/>
        </w:rPr>
        <w:t>Equipment Sales and Rental Coverage, AAIS Form IM 7700</w:t>
      </w:r>
      <w:r>
        <w:rPr>
          <w:rFonts w:ascii="Arial"/>
          <w:sz w:val="20"/>
        </w:rPr>
      </w:r>
    </w:p>
    <w:p>
      <w:pPr>
        <w:spacing w:line="240" w:lineRule="auto" w:before="10"/>
        <w:rPr>
          <w:rFonts w:ascii="Arial" w:hAnsi="Arial" w:cs="Arial" w:eastAsia="Arial"/>
          <w:b/>
          <w:bCs/>
          <w:sz w:val="19"/>
          <w:szCs w:val="19"/>
        </w:rPr>
      </w:pPr>
    </w:p>
    <w:p>
      <w:pPr>
        <w:pStyle w:val="BodyText"/>
        <w:spacing w:line="240" w:lineRule="auto"/>
        <w:ind w:left="120" w:right="232"/>
        <w:jc w:val="left"/>
      </w:pPr>
      <w:r>
        <w:rPr>
          <w:spacing w:val="-1"/>
        </w:rPr>
        <w:t>We will</w:t>
      </w:r>
      <w:r>
        <w:rPr>
          <w:spacing w:val="-2"/>
        </w:rPr>
        <w:t> </w:t>
      </w:r>
      <w:r>
        <w:rPr>
          <w:spacing w:val="-1"/>
        </w:rPr>
        <w:t>waive</w:t>
      </w:r>
      <w:r>
        <w:rPr>
          <w:spacing w:val="-2"/>
        </w:rPr>
        <w:t> </w:t>
      </w:r>
      <w:r>
        <w:rPr>
          <w:spacing w:val="-1"/>
        </w:rPr>
        <w:t>the </w:t>
      </w:r>
      <w:r>
        <w:rPr>
          <w:spacing w:val="-2"/>
        </w:rPr>
        <w:t>deductible</w:t>
      </w:r>
      <w:r>
        <w:rPr>
          <w:spacing w:val="-1"/>
        </w:rPr>
        <w:t> provisions</w:t>
      </w:r>
      <w:r>
        <w:rPr/>
        <w:t> </w:t>
      </w:r>
      <w:r>
        <w:rPr>
          <w:spacing w:val="-1"/>
        </w:rPr>
        <w:t>of the policy with</w:t>
      </w:r>
      <w:r>
        <w:rPr>
          <w:spacing w:val="3"/>
        </w:rPr>
        <w:t> </w:t>
      </w:r>
      <w:r>
        <w:rPr>
          <w:spacing w:val="-1"/>
        </w:rPr>
        <w:t>respect </w:t>
      </w:r>
      <w:r>
        <w:rPr/>
        <w:t>to</w:t>
      </w:r>
      <w:r>
        <w:rPr>
          <w:spacing w:val="-1"/>
        </w:rPr>
        <w:t> </w:t>
      </w:r>
      <w:r>
        <w:rPr/>
        <w:t>theft</w:t>
      </w:r>
      <w:r>
        <w:rPr>
          <w:spacing w:val="-1"/>
        </w:rPr>
        <w:t> </w:t>
      </w:r>
      <w:r>
        <w:rPr/>
        <w:t>or</w:t>
      </w:r>
      <w:r>
        <w:rPr>
          <w:spacing w:val="-1"/>
        </w:rPr>
        <w:t> conversion </w:t>
      </w:r>
      <w:r>
        <w:rPr/>
        <w:t>(if</w:t>
      </w:r>
      <w:r>
        <w:rPr>
          <w:spacing w:val="-1"/>
        </w:rPr>
        <w:t> conversion </w:t>
      </w:r>
      <w:r>
        <w:rPr/>
        <w:t>is</w:t>
      </w:r>
      <w:r>
        <w:rPr>
          <w:spacing w:val="-1"/>
        </w:rPr>
        <w:t> </w:t>
      </w:r>
      <w:r>
        <w:rPr/>
        <w:t>a</w:t>
      </w:r>
      <w:r>
        <w:rPr>
          <w:spacing w:val="63"/>
        </w:rPr>
        <w:t> </w:t>
      </w:r>
      <w:r>
        <w:rPr/>
        <w:t>covered</w:t>
      </w:r>
      <w:r>
        <w:rPr>
          <w:spacing w:val="-1"/>
        </w:rPr>
        <w:t> peril</w:t>
      </w:r>
      <w:r>
        <w:rPr>
          <w:spacing w:val="-2"/>
        </w:rPr>
        <w:t> </w:t>
      </w:r>
      <w:r>
        <w:rPr>
          <w:spacing w:val="-1"/>
        </w:rPr>
        <w:t>under </w:t>
      </w:r>
      <w:r>
        <w:rPr/>
        <w:t>the</w:t>
      </w:r>
      <w:r>
        <w:rPr>
          <w:spacing w:val="-1"/>
        </w:rPr>
        <w:t> policy) </w:t>
      </w: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property </w:t>
      </w:r>
      <w:r>
        <w:rPr/>
        <w:t>covered</w:t>
      </w:r>
      <w:r>
        <w:rPr>
          <w:spacing w:val="-1"/>
        </w:rPr>
        <w:t> is</w:t>
      </w:r>
      <w:r>
        <w:rPr/>
        <w:t> </w:t>
      </w:r>
      <w:r>
        <w:rPr>
          <w:spacing w:val="-1"/>
        </w:rPr>
        <w:t>protected by </w:t>
      </w:r>
      <w:r>
        <w:rPr/>
        <w:t>an</w:t>
      </w:r>
      <w:r>
        <w:rPr>
          <w:spacing w:val="-1"/>
        </w:rPr>
        <w:t> operational Global Positioning</w:t>
      </w:r>
      <w:r>
        <w:rPr>
          <w:spacing w:val="93"/>
        </w:rPr>
        <w:t> </w:t>
      </w:r>
      <w:r>
        <w:rPr/>
        <w:t>(GPS)</w:t>
      </w:r>
      <w:r>
        <w:rPr>
          <w:spacing w:val="-1"/>
        </w:rPr>
        <w:t> or</w:t>
      </w:r>
      <w:r>
        <w:rPr/>
        <w:t> </w:t>
      </w:r>
      <w:r>
        <w:rPr>
          <w:spacing w:val="-1"/>
        </w:rPr>
        <w:t>Radio Frequency Recovery </w:t>
      </w:r>
      <w:r>
        <w:rPr/>
        <w:t>System,</w:t>
      </w:r>
      <w:r>
        <w:rPr>
          <w:spacing w:val="-1"/>
        </w:rPr>
        <w:t> subject</w:t>
      </w:r>
      <w:r>
        <w:rPr>
          <w:spacing w:val="-3"/>
        </w:rPr>
        <w:t> </w:t>
      </w:r>
      <w:r>
        <w:rPr/>
        <w:t>to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</w:t>
      </w:r>
      <w:r>
        <w:rPr/>
        <w:t>following</w:t>
      </w:r>
      <w:r>
        <w:rPr>
          <w:spacing w:val="-1"/>
        </w:rPr>
        <w:t> conditions:</w:t>
      </w:r>
    </w:p>
    <w:p>
      <w:pPr>
        <w:spacing w:line="240" w:lineRule="auto" w:before="11"/>
        <w:rPr>
          <w:rFonts w:ascii="Arial" w:hAnsi="Arial" w:cs="Arial" w:eastAsia="Arial"/>
          <w:sz w:val="19"/>
          <w:szCs w:val="19"/>
        </w:rPr>
      </w:pPr>
    </w:p>
    <w:p>
      <w:pPr>
        <w:pStyle w:val="BodyText"/>
        <w:numPr>
          <w:ilvl w:val="0"/>
          <w:numId w:val="3"/>
        </w:numPr>
        <w:tabs>
          <w:tab w:pos="841" w:val="left" w:leader="none"/>
        </w:tabs>
        <w:spacing w:line="240" w:lineRule="auto" w:before="0" w:after="0"/>
        <w:ind w:left="840" w:right="1001" w:hanging="360"/>
        <w:jc w:val="left"/>
      </w:pPr>
      <w:r>
        <w:rPr>
          <w:spacing w:val="-1"/>
        </w:rPr>
        <w:t>Proof of purchase of GPS or</w:t>
      </w:r>
      <w:r>
        <w:rPr/>
        <w:t> </w:t>
      </w:r>
      <w:r>
        <w:rPr>
          <w:spacing w:val="-1"/>
        </w:rPr>
        <w:t>Radio Frequency Recovery System attached as part of the</w:t>
      </w:r>
      <w:r>
        <w:rPr>
          <w:spacing w:val="50"/>
        </w:rPr>
        <w:t> </w:t>
      </w:r>
      <w:r>
        <w:rPr>
          <w:spacing w:val="-1"/>
        </w:rPr>
        <w:t>equipment at the time of purchase or added as </w:t>
      </w:r>
      <w:r>
        <w:rPr/>
        <w:t>a</w:t>
      </w:r>
      <w:r>
        <w:rPr>
          <w:spacing w:val="-1"/>
        </w:rPr>
        <w:t> later date.</w:t>
      </w:r>
      <w:r>
        <w:rPr/>
      </w:r>
    </w:p>
    <w:p>
      <w:pPr>
        <w:pStyle w:val="BodyText"/>
        <w:numPr>
          <w:ilvl w:val="0"/>
          <w:numId w:val="3"/>
        </w:numPr>
        <w:tabs>
          <w:tab w:pos="841" w:val="left" w:leader="none"/>
        </w:tabs>
        <w:spacing w:line="240" w:lineRule="auto" w:before="0" w:after="0"/>
        <w:ind w:left="840" w:right="232" w:hanging="360"/>
        <w:jc w:val="left"/>
      </w:pPr>
      <w:r>
        <w:rPr>
          <w:spacing w:val="-1"/>
        </w:rPr>
        <w:t>Proof of purchase of ongoing monitoring</w:t>
      </w:r>
      <w:r>
        <w:rPr>
          <w:spacing w:val="-2"/>
        </w:rPr>
        <w:t> </w:t>
      </w:r>
      <w:r>
        <w:rPr>
          <w:spacing w:val="-1"/>
        </w:rPr>
        <w:t>through</w:t>
      </w:r>
      <w:r>
        <w:rPr>
          <w:spacing w:val="1"/>
        </w:rPr>
        <w:t> </w:t>
      </w:r>
      <w:r>
        <w:rPr>
          <w:spacing w:val="-1"/>
        </w:rPr>
        <w:t>an authorized GPS </w:t>
      </w:r>
      <w:r>
        <w:rPr/>
        <w:t>or</w:t>
      </w:r>
      <w:r>
        <w:rPr>
          <w:spacing w:val="-1"/>
        </w:rPr>
        <w:t> </w:t>
      </w:r>
      <w:r>
        <w:rPr/>
        <w:t>radio</w:t>
      </w:r>
      <w:r>
        <w:rPr>
          <w:spacing w:val="-1"/>
        </w:rPr>
        <w:t> frequency recovery</w:t>
      </w:r>
      <w:r>
        <w:rPr>
          <w:spacing w:val="43"/>
        </w:rPr>
        <w:t> </w:t>
      </w:r>
      <w:r>
        <w:rPr>
          <w:spacing w:val="-1"/>
        </w:rPr>
        <w:t>system monitoring</w:t>
      </w:r>
      <w:r>
        <w:rPr>
          <w:spacing w:val="-2"/>
        </w:rPr>
        <w:t> </w:t>
      </w:r>
      <w:r>
        <w:rPr>
          <w:spacing w:val="-1"/>
        </w:rPr>
        <w:t>service</w:t>
      </w:r>
      <w:r>
        <w:rPr>
          <w:spacing w:val="-2"/>
        </w:rPr>
        <w:t> </w:t>
      </w:r>
      <w:r>
        <w:rPr>
          <w:spacing w:val="-1"/>
        </w:rPr>
        <w:t>at time of loss.</w:t>
      </w:r>
      <w:r>
        <w:rPr/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240" w:lineRule="auto"/>
        <w:ind w:right="0"/>
        <w:jc w:val="left"/>
      </w:pPr>
      <w:r>
        <w:rPr/>
        <w:t>This</w:t>
      </w:r>
      <w:r>
        <w:rPr>
          <w:spacing w:val="-2"/>
        </w:rPr>
        <w:t> </w:t>
      </w:r>
      <w:r>
        <w:rPr>
          <w:spacing w:val="-1"/>
        </w:rPr>
        <w:t>coverage </w:t>
      </w:r>
      <w:r>
        <w:rPr/>
        <w:t>will</w:t>
      </w:r>
      <w:r>
        <w:rPr>
          <w:spacing w:val="-1"/>
        </w:rPr>
        <w:t> </w:t>
      </w:r>
      <w:r>
        <w:rPr/>
        <w:t>apply</w:t>
      </w:r>
      <w:r>
        <w:rPr>
          <w:spacing w:val="-1"/>
        </w:rPr>
        <w:t> up </w:t>
      </w:r>
      <w:r>
        <w:rPr/>
        <w:t>to</w:t>
      </w:r>
      <w:r>
        <w:rPr>
          <w:spacing w:val="-1"/>
        </w:rPr>
        <w:t> </w:t>
      </w:r>
      <w:r>
        <w:rPr/>
        <w:t>$10,000</w:t>
      </w:r>
      <w:r>
        <w:rPr>
          <w:spacing w:val="-2"/>
        </w:rPr>
        <w:t> </w:t>
      </w:r>
      <w:r>
        <w:rPr/>
        <w:t>each</w:t>
      </w:r>
      <w:r>
        <w:rPr>
          <w:spacing w:val="-1"/>
        </w:rPr>
        <w:t> occurrence. </w:t>
      </w:r>
      <w:r>
        <w:rPr/>
        <w:t>If</w:t>
      </w:r>
      <w:r>
        <w:rPr>
          <w:spacing w:val="-1"/>
        </w:rPr>
        <w:t> </w:t>
      </w:r>
      <w:r>
        <w:rPr/>
        <w:t>the</w:t>
      </w:r>
      <w:r>
        <w:rPr>
          <w:spacing w:val="-1"/>
        </w:rPr>
        <w:t> insured’s deductible exceeds $10,000, </w:t>
      </w:r>
      <w:r>
        <w:rPr/>
        <w:t>the</w:t>
      </w:r>
      <w:r>
        <w:rPr>
          <w:spacing w:val="73"/>
        </w:rPr>
        <w:t> </w:t>
      </w:r>
      <w:r>
        <w:rPr>
          <w:spacing w:val="-1"/>
        </w:rPr>
        <w:t>insured is</w:t>
      </w:r>
      <w:r>
        <w:rPr/>
        <w:t> </w:t>
      </w:r>
      <w:r>
        <w:rPr>
          <w:spacing w:val="-1"/>
        </w:rPr>
        <w:t>responsible </w:t>
      </w:r>
      <w:r>
        <w:rPr/>
        <w:t>for</w:t>
      </w:r>
      <w:r>
        <w:rPr>
          <w:spacing w:val="-1"/>
        </w:rPr>
        <w:t> the deductible</w:t>
      </w:r>
      <w:r>
        <w:rPr>
          <w:spacing w:val="-2"/>
        </w:rPr>
        <w:t> </w:t>
      </w:r>
      <w:r>
        <w:rPr/>
        <w:t>in</w:t>
      </w:r>
      <w:r>
        <w:rPr>
          <w:spacing w:val="-1"/>
        </w:rPr>
        <w:t> </w:t>
      </w:r>
      <w:r>
        <w:rPr/>
        <w:t>excess</w:t>
      </w:r>
      <w:r>
        <w:rPr>
          <w:spacing w:val="-1"/>
        </w:rPr>
        <w:t> </w:t>
      </w:r>
      <w:r>
        <w:rPr/>
        <w:t>of</w:t>
      </w:r>
      <w:r>
        <w:rPr>
          <w:spacing w:val="-1"/>
        </w:rPr>
        <w:t> $10,000.</w:t>
      </w:r>
    </w:p>
    <w:p>
      <w:pPr>
        <w:spacing w:line="240" w:lineRule="auto" w:before="1"/>
        <w:rPr>
          <w:rFonts w:ascii="Arial" w:hAnsi="Arial" w:cs="Arial" w:eastAsia="Arial"/>
          <w:sz w:val="20"/>
          <w:szCs w:val="20"/>
        </w:rPr>
      </w:pPr>
    </w:p>
    <w:p>
      <w:pPr>
        <w:pStyle w:val="BodyText"/>
        <w:spacing w:line="479" w:lineRule="auto"/>
        <w:ind w:right="847"/>
        <w:jc w:val="left"/>
      </w:pPr>
      <w:r>
        <w:rPr>
          <w:spacing w:val="-1"/>
        </w:rPr>
        <w:t>If any of</w:t>
      </w:r>
      <w:r>
        <w:rPr/>
        <w:t> </w:t>
      </w:r>
      <w:r>
        <w:rPr>
          <w:spacing w:val="-1"/>
        </w:rPr>
        <w:t>the above have not been complied with by </w:t>
      </w:r>
      <w:r>
        <w:rPr/>
        <w:t>the</w:t>
      </w:r>
      <w:r>
        <w:rPr>
          <w:spacing w:val="-1"/>
        </w:rPr>
        <w:t> insured, </w:t>
      </w:r>
      <w:r>
        <w:rPr/>
        <w:t>the</w:t>
      </w:r>
      <w:r>
        <w:rPr>
          <w:spacing w:val="-2"/>
        </w:rPr>
        <w:t> </w:t>
      </w:r>
      <w:r>
        <w:rPr/>
        <w:t>policy</w:t>
      </w:r>
      <w:r>
        <w:rPr>
          <w:spacing w:val="-1"/>
        </w:rPr>
        <w:t> deductible applies.</w:t>
      </w:r>
      <w:r>
        <w:rPr>
          <w:spacing w:val="53"/>
        </w:rPr>
        <w:t> </w:t>
      </w:r>
      <w:r>
        <w:rPr>
          <w:spacing w:val="-1"/>
        </w:rPr>
        <w:t>Form:</w:t>
      </w:r>
      <w:r>
        <w:rPr/>
        <w:t>  </w:t>
      </w:r>
      <w:r>
        <w:rPr>
          <w:spacing w:val="29"/>
        </w:rPr>
        <w:t> </w:t>
      </w:r>
      <w:r>
        <w:rPr>
          <w:spacing w:val="-1"/>
        </w:rPr>
        <w:t>Optional.</w:t>
      </w:r>
      <w:r>
        <w:rPr/>
      </w:r>
    </w:p>
    <w:p>
      <w:pPr>
        <w:pStyle w:val="BodyText"/>
        <w:spacing w:line="240" w:lineRule="auto" w:before="6"/>
        <w:ind w:right="0"/>
        <w:jc w:val="left"/>
      </w:pPr>
      <w:r>
        <w:rPr/>
        <w:t>Premium</w:t>
      </w:r>
      <w:r>
        <w:rPr>
          <w:spacing w:val="-2"/>
        </w:rPr>
        <w:t> </w:t>
      </w:r>
      <w:r>
        <w:rPr>
          <w:spacing w:val="-1"/>
        </w:rPr>
        <w:t>Charge: None.</w:t>
      </w: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0"/>
        <w:rPr>
          <w:rFonts w:ascii="Arial" w:hAnsi="Arial" w:cs="Arial" w:eastAsia="Arial"/>
          <w:sz w:val="20"/>
          <w:szCs w:val="20"/>
        </w:rPr>
      </w:pPr>
    </w:p>
    <w:p>
      <w:pPr>
        <w:spacing w:line="240" w:lineRule="auto" w:before="8"/>
        <w:rPr>
          <w:rFonts w:ascii="Arial" w:hAnsi="Arial" w:cs="Arial" w:eastAsia="Arial"/>
          <w:sz w:val="24"/>
          <w:szCs w:val="24"/>
        </w:rPr>
      </w:pPr>
    </w:p>
    <w:p>
      <w:pPr>
        <w:pStyle w:val="BodyText"/>
        <w:tabs>
          <w:tab w:pos="8615" w:val="left" w:leader="none"/>
        </w:tabs>
        <w:spacing w:line="240" w:lineRule="auto" w:before="74"/>
        <w:ind w:left="0" w:right="0"/>
        <w:jc w:val="center"/>
      </w:pPr>
      <w:bookmarkStart w:name="Rate/Rule Schedule" w:id="3"/>
      <w:bookmarkEnd w:id="3"/>
      <w:r>
        <w:rPr/>
      </w:r>
      <w:r>
        <w:rPr>
          <w:spacing w:val="-1"/>
        </w:rPr>
        <w:t>AIG –MU </w:t>
      </w:r>
      <w:r>
        <w:rPr/>
        <w:t>–</w:t>
      </w:r>
      <w:r>
        <w:rPr>
          <w:spacing w:val="-1"/>
        </w:rPr>
        <w:t> RENT </w:t>
      </w:r>
      <w:r>
        <w:rPr/>
        <w:t>–</w:t>
      </w:r>
      <w:r>
        <w:rPr>
          <w:spacing w:val="-1"/>
        </w:rPr>
        <w:t> RU</w:t>
        <w:tab/>
        <w:t>Ed. 6/15</w:t>
      </w:r>
      <w:r>
        <w:rPr/>
      </w:r>
    </w:p>
    <w:p>
      <w:pPr>
        <w:pStyle w:val="BodyText"/>
        <w:spacing w:line="240" w:lineRule="auto"/>
        <w:ind w:left="4221" w:right="4222"/>
        <w:jc w:val="center"/>
      </w:pPr>
      <w:r>
        <w:rPr/>
        <w:t>1</w:t>
      </w:r>
      <w:r>
        <w:rPr>
          <w:spacing w:val="-1"/>
        </w:rPr>
        <w:t> of </w:t>
      </w:r>
      <w:r>
        <w:rPr/>
        <w:t>1</w:t>
      </w:r>
    </w:p>
    <w:sectPr>
      <w:type w:val="continuous"/>
      <w:pgSz w:w="12240" w:h="15840"/>
      <w:pgMar w:top="660" w:bottom="280" w:left="1320" w:right="13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Symbol">
    <w:altName w:val="Symbol"/>
    <w:charset w:val="2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1"/>
      <w:numFmt w:val="decimal"/>
      <w:lvlText w:val="%1."/>
      <w:lvlJc w:val="left"/>
      <w:pPr>
        <w:ind w:left="840" w:hanging="361"/>
        <w:jc w:val="left"/>
      </w:pPr>
      <w:rPr>
        <w:rFonts w:hint="default" w:ascii="Arial" w:hAnsi="Arial" w:eastAsia="Arial"/>
        <w:spacing w:val="-1"/>
        <w:sz w:val="20"/>
        <w:szCs w:val="20"/>
      </w:rPr>
    </w:lvl>
    <w:lvl w:ilvl="1">
      <w:start w:val="1"/>
      <w:numFmt w:val="bullet"/>
      <w:lvlText w:val="•"/>
      <w:lvlJc w:val="left"/>
      <w:pPr>
        <w:ind w:left="4715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5258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5801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6343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6886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7429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971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514" w:hanging="361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840" w:hanging="361"/>
        <w:jc w:val="left"/>
      </w:pPr>
      <w:rPr>
        <w:rFonts w:hint="default" w:ascii="Arial" w:hAnsi="Arial" w:eastAsia="Arial"/>
        <w:sz w:val="20"/>
        <w:szCs w:val="20"/>
      </w:rPr>
    </w:lvl>
    <w:lvl w:ilvl="1">
      <w:start w:val="1"/>
      <w:numFmt w:val="bullet"/>
      <w:lvlText w:val="•"/>
      <w:lvlJc w:val="left"/>
      <w:pPr>
        <w:ind w:left="1716" w:hanging="361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36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36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36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36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36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361"/>
      </w:pPr>
      <w:rPr>
        <w:rFonts w:hint="default"/>
      </w:rPr>
    </w:lvl>
  </w:abstractNum>
  <w:abstractNum w:abstractNumId="0">
    <w:multiLevelType w:val="hybridMultilevel"/>
    <w:lvl w:ilvl="0">
      <w:start w:val="1"/>
      <w:numFmt w:val="bullet"/>
      <w:lvlText w:val=""/>
      <w:lvlJc w:val="left"/>
      <w:pPr>
        <w:ind w:left="840" w:hanging="360"/>
      </w:pPr>
      <w:rPr>
        <w:rFonts w:hint="default" w:ascii="Symbol" w:hAnsi="Symbol" w:eastAsia="Symbol"/>
        <w:sz w:val="20"/>
        <w:szCs w:val="20"/>
      </w:rPr>
    </w:lvl>
    <w:lvl w:ilvl="1">
      <w:start w:val="1"/>
      <w:numFmt w:val="bullet"/>
      <w:lvlText w:val="•"/>
      <w:lvlJc w:val="left"/>
      <w:pPr>
        <w:ind w:left="1716" w:hanging="360"/>
      </w:pPr>
      <w:rPr>
        <w:rFonts w:hint="default"/>
      </w:rPr>
    </w:lvl>
    <w:lvl w:ilvl="2">
      <w:start w:val="1"/>
      <w:numFmt w:val="bullet"/>
      <w:lvlText w:val="•"/>
      <w:lvlJc w:val="left"/>
      <w:pPr>
        <w:ind w:left="2592" w:hanging="36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68" w:hanging="3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344" w:hanging="3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220" w:hanging="3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096" w:hanging="3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72" w:hanging="3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848" w:hanging="360"/>
      </w:pPr>
      <w:rPr>
        <w:rFonts w:hint="default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spacing w:lineRule="auto" w:line="240" w:after="0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/>
  </w:style>
  <w:style w:styleId="BodyText" w:type="paragraph">
    <w:name w:val="Body Text"/>
    <w:basedOn w:val="Normal"/>
    <w:uiPriority w:val="1"/>
    <w:qFormat/>
    <w:pPr>
      <w:ind w:left="119"/>
    </w:pPr>
    <w:rPr>
      <w:rFonts w:ascii="Arial" w:hAnsi="Arial" w:eastAsia="Arial"/>
      <w:sz w:val="20"/>
      <w:szCs w:val="20"/>
    </w:rPr>
  </w:style>
  <w:style w:styleId="Heading1" w:type="paragraph">
    <w:name w:val="Heading 1"/>
    <w:basedOn w:val="Normal"/>
    <w:uiPriority w:val="1"/>
    <w:qFormat/>
    <w:pPr>
      <w:ind w:left="3"/>
      <w:outlineLvl w:val="1"/>
    </w:pPr>
    <w:rPr>
      <w:rFonts w:ascii="Arial" w:hAnsi="Arial" w:eastAsia="Arial"/>
      <w:b/>
      <w:bCs/>
      <w:sz w:val="24"/>
      <w:szCs w:val="24"/>
    </w:rPr>
  </w:style>
  <w:style w:styleId="Heading2" w:type="paragraph">
    <w:name w:val="Heading 2"/>
    <w:basedOn w:val="Normal"/>
    <w:uiPriority w:val="1"/>
    <w:qFormat/>
    <w:pPr>
      <w:ind w:left="840" w:hanging="360"/>
      <w:outlineLvl w:val="2"/>
    </w:pPr>
    <w:rPr>
      <w:rFonts w:ascii="Arial" w:hAnsi="Arial" w:eastAsia="Arial"/>
      <w:b/>
      <w:bCs/>
      <w:sz w:val="20"/>
      <w:szCs w:val="20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Application>Microsoft Office Outlook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2017-04-19T10:12:38Z</dcterms:created>
  <dcterms:modified xsi:type="dcterms:W3CDTF">2017-04-19T10:12:38Z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2017-04-19T00:00:00Z</vt:filetime>
  </property>
  <property fmtid="{D5CDD505-2E9C-101B-9397-08002B2CF9AE}" pid="3" name="LastSaved">
    <vt:filetime>2017-04-19T00:00:00Z</vt:filetime>
  </property>
</Properties>
</file>